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E1A12"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58FAF037" w14:textId="15367482" w:rsidR="001D3DFA" w:rsidRPr="001D3DFA" w:rsidRDefault="00630642"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The Philippines</w:t>
      </w:r>
      <w:r w:rsidR="001D3DFA" w:rsidRPr="52FA1C63">
        <w:rPr>
          <w:rFonts w:ascii="Arial Black" w:eastAsia="Times New Roman" w:hAnsi="Arial Black" w:cs="Arial"/>
          <w:b/>
          <w:bCs/>
          <w:color w:val="242C65"/>
          <w:sz w:val="52"/>
          <w:szCs w:val="52"/>
        </w:rPr>
        <w:t xml:space="preserve"> </w:t>
      </w:r>
    </w:p>
    <w:p w14:paraId="42D7FEB1" w14:textId="77777777" w:rsidR="00630642" w:rsidRDefault="00630642" w:rsidP="001D3DFA">
      <w:pPr>
        <w:rPr>
          <w:rFonts w:ascii="Arial Black" w:eastAsia="Times New Roman" w:hAnsi="Arial Black" w:cs="Arial"/>
          <w:b/>
          <w:bCs/>
          <w:color w:val="242C65"/>
          <w:sz w:val="40"/>
          <w:szCs w:val="40"/>
        </w:rPr>
      </w:pPr>
    </w:p>
    <w:p w14:paraId="4616B6B3" w14:textId="69A039D8"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71780225" w14:textId="76307B1B" w:rsidR="001D3DFA" w:rsidRDefault="00630642" w:rsidP="00630642">
      <w:pPr>
        <w:rPr>
          <w:rFonts w:ascii="Calibri" w:hAnsi="Calibri" w:cs="Calibri"/>
          <w:color w:val="000000"/>
          <w:shd w:val="clear" w:color="auto" w:fill="FFFFFF"/>
        </w:rPr>
      </w:pPr>
      <w:r w:rsidRPr="00630642">
        <w:rPr>
          <w:rFonts w:ascii="Calibri" w:hAnsi="Calibri" w:cs="Calibri"/>
          <w:color w:val="000000"/>
          <w:shd w:val="clear" w:color="auto" w:fill="FFFFFF"/>
        </w:rPr>
        <w:t>Disabled Persons are those suffering from restriction or different abilities, as a result of a mental, physical or sensory impairment, to perform an activity in the manner or within the range considered normal for a human being; b) Impairment is any loss, diminution or aberration of psychological, physiological, or anatomical structure or function; c) Disability shall mean 1) a physical or mental impairment that substantially limits one or more psychological, physiological or anatomical function of an individual or activities of such individual; 2) a record of such an impairment; or 3) being regarded as having such an impairment; d) Handicap refers to a disadvantage for a given individual, resulting from an impairment of a disability, that limits or prevents the function or activity, that is considered normal given the age and sex of the individual.</w:t>
      </w:r>
    </w:p>
    <w:p w14:paraId="5AF0269D" w14:textId="77777777" w:rsidR="00630642" w:rsidRDefault="00630642" w:rsidP="00630642">
      <w:pPr>
        <w:rPr>
          <w:rFonts w:ascii="Calibri" w:hAnsi="Calibri" w:cs="Calibri"/>
          <w:color w:val="000000"/>
          <w:shd w:val="clear" w:color="auto" w:fill="FFFFFF"/>
        </w:rPr>
      </w:pPr>
    </w:p>
    <w:p w14:paraId="23F74B7D" w14:textId="61A44436" w:rsidR="001D3DFA" w:rsidRDefault="00630642" w:rsidP="00630642">
      <w:pPr>
        <w:rPr>
          <w:rFonts w:ascii="Calibri" w:hAnsi="Calibri" w:cs="Calibri"/>
          <w:color w:val="000000"/>
          <w:shd w:val="clear" w:color="auto" w:fill="FFFFFF"/>
        </w:rPr>
      </w:pPr>
      <w:r>
        <w:rPr>
          <w:rFonts w:ascii="Calibri" w:hAnsi="Calibri" w:cs="Calibri"/>
          <w:color w:val="000000"/>
          <w:shd w:val="clear" w:color="auto" w:fill="FFFFFF"/>
        </w:rPr>
        <w:t xml:space="preserve">Reference: Philippines – </w:t>
      </w:r>
      <w:hyperlink r:id="rId8" w:history="1">
        <w:r w:rsidRPr="00630642">
          <w:rPr>
            <w:rStyle w:val="Hyperlink"/>
            <w:rFonts w:ascii="Calibri" w:hAnsi="Calibri" w:cs="Calibri"/>
            <w:shd w:val="clear" w:color="auto" w:fill="FFFFFF"/>
          </w:rPr>
          <w:t>Magna Carta for Disabled Persons</w:t>
        </w:r>
      </w:hyperlink>
    </w:p>
    <w:p w14:paraId="16C48E38" w14:textId="77777777" w:rsidR="00630642" w:rsidRDefault="00630642" w:rsidP="00630642">
      <w:pPr>
        <w:rPr>
          <w:rFonts w:ascii="Calibri" w:hAnsi="Calibri" w:cs="Calibri"/>
          <w:color w:val="000000"/>
          <w:shd w:val="clear" w:color="auto" w:fill="FFFFFF"/>
        </w:rPr>
      </w:pPr>
    </w:p>
    <w:p w14:paraId="042F4E88" w14:textId="7A3703CA" w:rsidR="00630642" w:rsidRPr="001D3DFA" w:rsidRDefault="00630642" w:rsidP="00630642">
      <w:pPr>
        <w:rPr>
          <w:rFonts w:ascii="Arial Black" w:eastAsia="Times New Roman" w:hAnsi="Arial Black" w:cs="Times New Roman"/>
          <w:b/>
          <w:bCs/>
          <w:color w:val="000000"/>
        </w:rPr>
      </w:pPr>
      <w:r>
        <w:rPr>
          <w:rFonts w:ascii="Arial Black" w:eastAsia="Times New Roman" w:hAnsi="Arial Black" w:cs="Arial"/>
          <w:b/>
          <w:bCs/>
          <w:color w:val="047BC1"/>
          <w:sz w:val="28"/>
          <w:szCs w:val="28"/>
        </w:rPr>
        <w:t>Disability Legislation</w:t>
      </w:r>
    </w:p>
    <w:p w14:paraId="522FE1B9" w14:textId="77777777" w:rsidR="52FA1C63" w:rsidRDefault="52FA1C63" w:rsidP="52FA1C63">
      <w:pPr>
        <w:rPr>
          <w:rFonts w:ascii="Arial" w:eastAsia="Times New Roman" w:hAnsi="Arial" w:cs="Arial"/>
          <w:color w:val="0563C1"/>
          <w:u w:val="single"/>
        </w:rPr>
      </w:pPr>
    </w:p>
    <w:p w14:paraId="25132D16" w14:textId="7DF985BF" w:rsidR="00630642" w:rsidRPr="00630642" w:rsidRDefault="00630642" w:rsidP="00630642">
      <w:pPr>
        <w:spacing w:after="240"/>
        <w:rPr>
          <w:rFonts w:ascii="Times New Roman" w:eastAsia="Times New Roman" w:hAnsi="Times New Roman" w:cs="Times New Roman"/>
          <w:color w:val="000000"/>
        </w:rPr>
      </w:pPr>
      <w:r w:rsidRPr="00630642">
        <w:rPr>
          <w:rFonts w:ascii="Times New Roman" w:eastAsia="Times New Roman" w:hAnsi="Times New Roman" w:cs="Times New Roman"/>
          <w:color w:val="000000"/>
        </w:rPr>
        <w:t>Magna Carta for Disabled Persons, 1992, Republic Act No. 7277: This Act provides for the rehabilitation, self-development and self-reliance of disabled persons and their integration into the mainstream of society. Title Two, centers on employment, education, health care, social services, telecommunications, buildings and transportation, and political and civil rights. Title Three prohibits discrimination against disabled persons in employment, transportation, and in public accommodation and services.</w:t>
      </w:r>
    </w:p>
    <w:p w14:paraId="27D8FC37" w14:textId="11AEE7A6" w:rsidR="00630642" w:rsidRPr="00630642" w:rsidRDefault="00630642" w:rsidP="00630642">
      <w:pPr>
        <w:spacing w:after="240"/>
        <w:rPr>
          <w:rFonts w:ascii="Times New Roman" w:eastAsia="Times New Roman" w:hAnsi="Times New Roman" w:cs="Times New Roman"/>
          <w:color w:val="000000"/>
        </w:rPr>
      </w:pPr>
      <w:r w:rsidRPr="00630642">
        <w:rPr>
          <w:rFonts w:ascii="Times New Roman" w:eastAsia="Times New Roman" w:hAnsi="Times New Roman" w:cs="Times New Roman"/>
          <w:color w:val="000000"/>
        </w:rPr>
        <w:t xml:space="preserve">Republic Act No. 10524 – An Act Expanding the Positions Reserved for Persons with Disability, </w:t>
      </w:r>
      <w:proofErr w:type="gramStart"/>
      <w:r w:rsidRPr="00630642">
        <w:rPr>
          <w:rFonts w:ascii="Times New Roman" w:eastAsia="Times New Roman" w:hAnsi="Times New Roman" w:cs="Times New Roman"/>
          <w:color w:val="000000"/>
        </w:rPr>
        <w:t>Amending</w:t>
      </w:r>
      <w:proofErr w:type="gramEnd"/>
      <w:r w:rsidRPr="00630642">
        <w:rPr>
          <w:rFonts w:ascii="Times New Roman" w:eastAsia="Times New Roman" w:hAnsi="Times New Roman" w:cs="Times New Roman"/>
          <w:color w:val="000000"/>
        </w:rPr>
        <w:t xml:space="preserve"> for the Purpose Republic Act No. 7277, as Amended, Otherwise Known as the Magna Carta for Persons with Disability. Approved on April 23, 2013, this Act adds the 1% Quota as follows:</w:t>
      </w:r>
    </w:p>
    <w:p w14:paraId="4A508F70" w14:textId="77777777" w:rsidR="00630642" w:rsidRPr="00630642" w:rsidRDefault="00630642" w:rsidP="00630642">
      <w:pPr>
        <w:spacing w:after="240"/>
        <w:rPr>
          <w:rFonts w:ascii="Times New Roman" w:eastAsia="Times New Roman" w:hAnsi="Times New Roman" w:cs="Times New Roman"/>
          <w:color w:val="000000"/>
        </w:rPr>
      </w:pPr>
      <w:r w:rsidRPr="00630642">
        <w:rPr>
          <w:rFonts w:ascii="Times New Roman" w:eastAsia="Times New Roman" w:hAnsi="Times New Roman" w:cs="Times New Roman"/>
          <w:color w:val="000000"/>
        </w:rPr>
        <w:t>“At least 1% of all positions in all government agencies, offices or corporations shall be reserved for persons with disability. Private corporations with more than 100 employees are encouraged to reserve at least 1% of all positions for persons with disability.”</w:t>
      </w:r>
    </w:p>
    <w:p w14:paraId="60F4B47F" w14:textId="1A2828B8" w:rsidR="00630642" w:rsidRPr="00630642" w:rsidRDefault="00630642" w:rsidP="00630642">
      <w:pPr>
        <w:spacing w:after="240"/>
        <w:rPr>
          <w:rFonts w:ascii="Times New Roman" w:eastAsia="Times New Roman" w:hAnsi="Times New Roman" w:cs="Times New Roman"/>
          <w:color w:val="000000"/>
        </w:rPr>
      </w:pPr>
      <w:r w:rsidRPr="00630642">
        <w:rPr>
          <w:rFonts w:ascii="Times New Roman" w:eastAsia="Times New Roman" w:hAnsi="Times New Roman" w:cs="Times New Roman"/>
          <w:color w:val="000000"/>
        </w:rPr>
        <w:t xml:space="preserve">Private entities that improve or modify their physical facilities in order to provide reasonable accommodation for disabled persons shall also be entitled to an additional deduction from their net taxable income, equivalent to fifty percent (50%) of the direct costs of the improvements or modifications. This Section, however, does not apply to improvements or modifications of facilities required under Batas Pambansa </w:t>
      </w:r>
      <w:proofErr w:type="spellStart"/>
      <w:r w:rsidRPr="00630642">
        <w:rPr>
          <w:rFonts w:ascii="Times New Roman" w:eastAsia="Times New Roman" w:hAnsi="Times New Roman" w:cs="Times New Roman"/>
          <w:color w:val="000000"/>
        </w:rPr>
        <w:t>Bilang</w:t>
      </w:r>
      <w:proofErr w:type="spellEnd"/>
      <w:r w:rsidRPr="00630642">
        <w:rPr>
          <w:rFonts w:ascii="Times New Roman" w:eastAsia="Times New Roman" w:hAnsi="Times New Roman" w:cs="Times New Roman"/>
          <w:color w:val="000000"/>
        </w:rPr>
        <w:t xml:space="preserve"> 344 – An Act to Enhance the Mobility of </w:t>
      </w:r>
      <w:r w:rsidRPr="00630642">
        <w:rPr>
          <w:rFonts w:ascii="Times New Roman" w:eastAsia="Times New Roman" w:hAnsi="Times New Roman" w:cs="Times New Roman"/>
          <w:color w:val="000000"/>
        </w:rPr>
        <w:lastRenderedPageBreak/>
        <w:t>Disabled Persons by Requiring Certain Buildings, Institutions, Establishments and Public Utilities to install Facilities and Other Devices.</w:t>
      </w:r>
    </w:p>
    <w:p w14:paraId="466EB6C7" w14:textId="11558DA8" w:rsidR="00630642" w:rsidRPr="00630642" w:rsidRDefault="00630642" w:rsidP="00630642">
      <w:pPr>
        <w:spacing w:after="240"/>
        <w:rPr>
          <w:rFonts w:ascii="Times New Roman" w:eastAsia="Times New Roman" w:hAnsi="Times New Roman" w:cs="Times New Roman"/>
          <w:color w:val="000000"/>
        </w:rPr>
      </w:pPr>
      <w:r w:rsidRPr="00630642">
        <w:rPr>
          <w:rFonts w:ascii="Times New Roman" w:eastAsia="Times New Roman" w:hAnsi="Times New Roman" w:cs="Times New Roman"/>
          <w:color w:val="000000"/>
        </w:rPr>
        <w:t xml:space="preserve">Barrier-Free Environment. — The State shall ensure the attainment of a barrier-free environment that will enable disabled persons to have access in public and private buildings and establishments and such other places mentioned in Batas Pambansa </w:t>
      </w:r>
      <w:proofErr w:type="spellStart"/>
      <w:r w:rsidRPr="00630642">
        <w:rPr>
          <w:rFonts w:ascii="Times New Roman" w:eastAsia="Times New Roman" w:hAnsi="Times New Roman" w:cs="Times New Roman"/>
          <w:color w:val="000000"/>
        </w:rPr>
        <w:t>Bilang</w:t>
      </w:r>
      <w:proofErr w:type="spellEnd"/>
      <w:r w:rsidRPr="00630642">
        <w:rPr>
          <w:rFonts w:ascii="Times New Roman" w:eastAsia="Times New Roman" w:hAnsi="Times New Roman" w:cs="Times New Roman"/>
          <w:color w:val="000000"/>
        </w:rPr>
        <w:t xml:space="preserve"> 344, otherwise known as the “Accessibility Law.”</w:t>
      </w:r>
    </w:p>
    <w:p w14:paraId="20DB7DBE" w14:textId="4BBC4951" w:rsidR="00630642" w:rsidRPr="00630642" w:rsidRDefault="00630642" w:rsidP="00630642">
      <w:pPr>
        <w:spacing w:after="240"/>
        <w:rPr>
          <w:rFonts w:ascii="Times New Roman" w:eastAsia="Times New Roman" w:hAnsi="Times New Roman" w:cs="Times New Roman"/>
          <w:color w:val="000000"/>
        </w:rPr>
      </w:pPr>
      <w:r w:rsidRPr="00630642">
        <w:rPr>
          <w:rFonts w:ascii="Times New Roman" w:eastAsia="Times New Roman" w:hAnsi="Times New Roman" w:cs="Times New Roman"/>
          <w:color w:val="000000"/>
        </w:rPr>
        <w:t>Information on an individual’s health is classified as sensitive personal information under Philippine data privacy laws.</w:t>
      </w:r>
    </w:p>
    <w:p w14:paraId="3448D27C" w14:textId="6D1EA567" w:rsidR="00630642" w:rsidRPr="00630642" w:rsidRDefault="00630642" w:rsidP="00630642">
      <w:pPr>
        <w:spacing w:after="240"/>
        <w:rPr>
          <w:rFonts w:ascii="Times New Roman" w:eastAsia="Times New Roman" w:hAnsi="Times New Roman" w:cs="Times New Roman"/>
          <w:color w:val="000000"/>
        </w:rPr>
      </w:pPr>
      <w:r w:rsidRPr="00630642">
        <w:rPr>
          <w:rFonts w:ascii="Times New Roman" w:eastAsia="Times New Roman" w:hAnsi="Times New Roman" w:cs="Times New Roman"/>
          <w:color w:val="000000"/>
        </w:rPr>
        <w:t>Disability Laws in The Philippines</w:t>
      </w:r>
    </w:p>
    <w:p w14:paraId="243AA963" w14:textId="68BFC0E7" w:rsidR="001D3DFA" w:rsidRPr="001D3DFA" w:rsidRDefault="00630642" w:rsidP="00630642">
      <w:pPr>
        <w:spacing w:after="240"/>
        <w:rPr>
          <w:rFonts w:ascii="Times New Roman" w:eastAsia="Times New Roman" w:hAnsi="Times New Roman" w:cs="Times New Roman"/>
          <w:color w:val="000000"/>
        </w:rPr>
      </w:pPr>
      <w:r w:rsidRPr="00630642">
        <w:rPr>
          <w:rFonts w:ascii="Times New Roman" w:eastAsia="Times New Roman" w:hAnsi="Times New Roman" w:cs="Times New Roman"/>
          <w:color w:val="000000"/>
        </w:rPr>
        <w:t>Manila Accessible Information and Communications Technologies (ICT) Design Recommendations</w:t>
      </w:r>
    </w:p>
    <w:p w14:paraId="7980EDEA"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7B4287C5" w14:textId="77777777" w:rsidR="00630642" w:rsidRPr="00630642" w:rsidRDefault="00630642" w:rsidP="00630642">
      <w:pPr>
        <w:rPr>
          <w:rFonts w:ascii="Arial" w:eastAsia="Times New Roman" w:hAnsi="Arial" w:cs="Arial"/>
          <w:color w:val="000000"/>
        </w:rPr>
      </w:pPr>
      <w:r w:rsidRPr="00630642">
        <w:rPr>
          <w:rFonts w:ascii="Arial" w:eastAsia="Times New Roman" w:hAnsi="Arial" w:cs="Arial"/>
          <w:color w:val="000000"/>
        </w:rPr>
        <w:t>For companies with over 100 employees, there is a quota for 1% (without a penalty system in place).</w:t>
      </w:r>
    </w:p>
    <w:p w14:paraId="425F99FC" w14:textId="77777777" w:rsidR="00630642" w:rsidRPr="00630642" w:rsidRDefault="00630642" w:rsidP="00630642">
      <w:pPr>
        <w:rPr>
          <w:rFonts w:ascii="Arial" w:eastAsia="Times New Roman" w:hAnsi="Arial" w:cs="Arial"/>
          <w:color w:val="000000"/>
        </w:rPr>
      </w:pPr>
    </w:p>
    <w:p w14:paraId="68A33754" w14:textId="77777777" w:rsidR="00630642" w:rsidRPr="00630642" w:rsidRDefault="00630642" w:rsidP="00630642">
      <w:pPr>
        <w:rPr>
          <w:rFonts w:ascii="Arial" w:eastAsia="Times New Roman" w:hAnsi="Arial" w:cs="Arial"/>
          <w:color w:val="000000"/>
        </w:rPr>
      </w:pPr>
      <w:r w:rsidRPr="00630642">
        <w:rPr>
          <w:rFonts w:ascii="Arial" w:eastAsia="Times New Roman" w:hAnsi="Arial" w:cs="Arial"/>
          <w:color w:val="000000"/>
        </w:rPr>
        <w:t>At the end of the year, employers must submit to the Department of Labor and Employment (DOLE) the following:</w:t>
      </w:r>
    </w:p>
    <w:p w14:paraId="588E891A" w14:textId="77777777" w:rsidR="00630642" w:rsidRPr="00630642" w:rsidRDefault="00630642" w:rsidP="00630642">
      <w:pPr>
        <w:rPr>
          <w:rFonts w:ascii="Arial" w:eastAsia="Times New Roman" w:hAnsi="Arial" w:cs="Arial"/>
          <w:color w:val="000000"/>
        </w:rPr>
      </w:pPr>
    </w:p>
    <w:p w14:paraId="6F2E8063" w14:textId="77777777" w:rsidR="00630642" w:rsidRPr="00630642" w:rsidRDefault="00630642" w:rsidP="00630642">
      <w:pPr>
        <w:rPr>
          <w:rFonts w:ascii="Arial" w:eastAsia="Times New Roman" w:hAnsi="Arial" w:cs="Arial"/>
          <w:color w:val="000000"/>
        </w:rPr>
      </w:pPr>
      <w:r w:rsidRPr="00630642">
        <w:rPr>
          <w:rFonts w:ascii="Arial" w:eastAsia="Times New Roman" w:hAnsi="Arial" w:cs="Arial"/>
          <w:color w:val="000000"/>
        </w:rPr>
        <w:t>Employment Report (TI-Form 2) containing (1) the name, address and telephone number of the establishment; (2) name of the person who prepared the form (TI-2); (3) names of persons with disabilities, age, type of disability, address, skills/ qualifications, position, status of employment, period of employment, Tax Identification Number (TIN); and (4) signature of Owner/Manager.</w:t>
      </w:r>
    </w:p>
    <w:p w14:paraId="66003CEA" w14:textId="77777777" w:rsidR="00630642" w:rsidRPr="00630642" w:rsidRDefault="00630642" w:rsidP="00630642">
      <w:pPr>
        <w:rPr>
          <w:rFonts w:ascii="Arial" w:eastAsia="Times New Roman" w:hAnsi="Arial" w:cs="Arial"/>
          <w:color w:val="000000"/>
        </w:rPr>
      </w:pPr>
      <w:r w:rsidRPr="00630642">
        <w:rPr>
          <w:rFonts w:ascii="Arial" w:eastAsia="Times New Roman" w:hAnsi="Arial" w:cs="Arial"/>
          <w:color w:val="000000"/>
        </w:rPr>
        <w:t>Payroll or evidence of actual payment of salaries, benefits, or withheld tax</w:t>
      </w:r>
    </w:p>
    <w:p w14:paraId="322DCCE0" w14:textId="77777777" w:rsidR="00630642" w:rsidRPr="00630642" w:rsidRDefault="00630642" w:rsidP="00630642">
      <w:pPr>
        <w:rPr>
          <w:rFonts w:ascii="Arial" w:eastAsia="Times New Roman" w:hAnsi="Arial" w:cs="Arial"/>
          <w:color w:val="000000"/>
        </w:rPr>
      </w:pPr>
      <w:r w:rsidRPr="00630642">
        <w:rPr>
          <w:rFonts w:ascii="Arial" w:eastAsia="Times New Roman" w:hAnsi="Arial" w:cs="Arial"/>
          <w:color w:val="000000"/>
        </w:rPr>
        <w:t>No penalties imposed, but incentives are given:</w:t>
      </w:r>
    </w:p>
    <w:p w14:paraId="22198E7C" w14:textId="77777777" w:rsidR="00630642" w:rsidRPr="00630642" w:rsidRDefault="00630642" w:rsidP="00630642">
      <w:pPr>
        <w:rPr>
          <w:rFonts w:ascii="Arial" w:eastAsia="Times New Roman" w:hAnsi="Arial" w:cs="Arial"/>
          <w:color w:val="000000"/>
        </w:rPr>
      </w:pPr>
    </w:p>
    <w:p w14:paraId="497BEE1C" w14:textId="77777777" w:rsidR="00630642" w:rsidRPr="00630642" w:rsidRDefault="00630642" w:rsidP="00630642">
      <w:pPr>
        <w:rPr>
          <w:rFonts w:ascii="Arial" w:eastAsia="Times New Roman" w:hAnsi="Arial" w:cs="Arial"/>
          <w:color w:val="000000"/>
        </w:rPr>
      </w:pPr>
      <w:r w:rsidRPr="00630642">
        <w:rPr>
          <w:rFonts w:ascii="Arial" w:eastAsia="Times New Roman" w:hAnsi="Arial" w:cs="Arial"/>
          <w:color w:val="000000"/>
        </w:rPr>
        <w:t>An additional deduction from gross income equivalent to twenty-five percent (25%) of the total amount paid as salaries and wages to disabled persons for private entities that employ disabled persons either as regular employee, apprentice, or learner, provided (1) proof as certified by the Department of Labor and Employment that disabled person are under their employ is presented; (2) the disabled employee is accredited with the Department of Labor and Employment and the Department of Health as to his disability, skills and qualifications.</w:t>
      </w:r>
    </w:p>
    <w:p w14:paraId="326A7174" w14:textId="77777777" w:rsidR="00630642" w:rsidRPr="00630642" w:rsidRDefault="00630642" w:rsidP="00630642">
      <w:pPr>
        <w:rPr>
          <w:rFonts w:ascii="Arial" w:eastAsia="Times New Roman" w:hAnsi="Arial" w:cs="Arial"/>
          <w:color w:val="000000"/>
        </w:rPr>
      </w:pPr>
      <w:r w:rsidRPr="00630642">
        <w:rPr>
          <w:rFonts w:ascii="Arial" w:eastAsia="Times New Roman" w:hAnsi="Arial" w:cs="Arial"/>
          <w:color w:val="000000"/>
        </w:rPr>
        <w:t>an additional deduction from net taxable income, equivalent to fifty percent (50%) of the direct costs of the improvements or modifications for private entities that improved or modify their physical facilities in order to provide reasonable accommodation for disabled persons.</w:t>
      </w:r>
    </w:p>
    <w:p w14:paraId="388F3B58" w14:textId="77777777" w:rsidR="00630642" w:rsidRPr="00630642" w:rsidRDefault="00630642" w:rsidP="00630642">
      <w:pPr>
        <w:rPr>
          <w:rFonts w:ascii="Arial" w:eastAsia="Times New Roman" w:hAnsi="Arial" w:cs="Arial"/>
          <w:color w:val="000000"/>
        </w:rPr>
      </w:pPr>
    </w:p>
    <w:p w14:paraId="69E46E64" w14:textId="77777777" w:rsidR="00630642" w:rsidRPr="00630642" w:rsidRDefault="00630642" w:rsidP="00630642">
      <w:pPr>
        <w:rPr>
          <w:rFonts w:ascii="Arial" w:eastAsia="Times New Roman" w:hAnsi="Arial" w:cs="Arial"/>
          <w:color w:val="000000"/>
        </w:rPr>
      </w:pPr>
      <w:r w:rsidRPr="00630642">
        <w:rPr>
          <w:rFonts w:ascii="Arial" w:eastAsia="Times New Roman" w:hAnsi="Arial" w:cs="Arial"/>
          <w:color w:val="000000"/>
        </w:rPr>
        <w:t xml:space="preserve">Can </w:t>
      </w:r>
      <w:proofErr w:type="spellStart"/>
      <w:r w:rsidRPr="00630642">
        <w:rPr>
          <w:rFonts w:ascii="Arial" w:eastAsia="Times New Roman" w:hAnsi="Arial" w:cs="Arial"/>
          <w:color w:val="000000"/>
        </w:rPr>
        <w:t>disabillity</w:t>
      </w:r>
      <w:proofErr w:type="spellEnd"/>
      <w:r w:rsidRPr="00630642">
        <w:rPr>
          <w:rFonts w:ascii="Arial" w:eastAsia="Times New Roman" w:hAnsi="Arial" w:cs="Arial"/>
          <w:color w:val="000000"/>
        </w:rPr>
        <w:t xml:space="preserve"> status be asked during the Application stage, </w:t>
      </w:r>
      <w:proofErr w:type="gramStart"/>
      <w:r w:rsidRPr="00630642">
        <w:rPr>
          <w:rFonts w:ascii="Arial" w:eastAsia="Times New Roman" w:hAnsi="Arial" w:cs="Arial"/>
          <w:color w:val="000000"/>
        </w:rPr>
        <w:t>After</w:t>
      </w:r>
      <w:proofErr w:type="gramEnd"/>
      <w:r w:rsidRPr="00630642">
        <w:rPr>
          <w:rFonts w:ascii="Arial" w:eastAsia="Times New Roman" w:hAnsi="Arial" w:cs="Arial"/>
          <w:color w:val="000000"/>
        </w:rPr>
        <w:t xml:space="preserve"> offer has been made and After employment commences?</w:t>
      </w:r>
    </w:p>
    <w:p w14:paraId="7B6BE0D8" w14:textId="77777777" w:rsidR="00630642" w:rsidRPr="00630642" w:rsidRDefault="00630642" w:rsidP="00630642">
      <w:pPr>
        <w:rPr>
          <w:rFonts w:ascii="Arial" w:eastAsia="Times New Roman" w:hAnsi="Arial" w:cs="Arial"/>
          <w:color w:val="000000"/>
        </w:rPr>
      </w:pPr>
      <w:r w:rsidRPr="00630642">
        <w:rPr>
          <w:rFonts w:ascii="Arial" w:eastAsia="Times New Roman" w:hAnsi="Arial" w:cs="Arial"/>
          <w:color w:val="000000"/>
        </w:rPr>
        <w:t>Yes, provided that:</w:t>
      </w:r>
    </w:p>
    <w:p w14:paraId="749DBB99" w14:textId="77777777" w:rsidR="00630642" w:rsidRPr="00630642" w:rsidRDefault="00630642" w:rsidP="00630642">
      <w:pPr>
        <w:rPr>
          <w:rFonts w:ascii="Arial" w:eastAsia="Times New Roman" w:hAnsi="Arial" w:cs="Arial"/>
          <w:color w:val="000000"/>
        </w:rPr>
      </w:pPr>
      <w:r w:rsidRPr="00630642">
        <w:rPr>
          <w:rFonts w:ascii="Arial" w:eastAsia="Times New Roman" w:hAnsi="Arial" w:cs="Arial"/>
          <w:color w:val="000000"/>
        </w:rPr>
        <w:lastRenderedPageBreak/>
        <w:t xml:space="preserve">Consent is given by the prospective </w:t>
      </w:r>
      <w:proofErr w:type="spellStart"/>
      <w:r w:rsidRPr="00630642">
        <w:rPr>
          <w:rFonts w:ascii="Arial" w:eastAsia="Times New Roman" w:hAnsi="Arial" w:cs="Arial"/>
          <w:color w:val="000000"/>
        </w:rPr>
        <w:t>employee</w:t>
      </w:r>
      <w:proofErr w:type="spellEnd"/>
      <w:r w:rsidRPr="00630642">
        <w:rPr>
          <w:rFonts w:ascii="Arial" w:eastAsia="Times New Roman" w:hAnsi="Arial" w:cs="Arial"/>
          <w:color w:val="000000"/>
        </w:rPr>
        <w:t xml:space="preserve">/employee prior to the processing of the sensitive personal information or privileged information, which shall be undertaken pursuant to a declared, specified, and legitimate purpose and which consent must be time-bound in relation to the declared, specified and legitimate purpose and may be </w:t>
      </w:r>
      <w:proofErr w:type="gramStart"/>
      <w:r w:rsidRPr="00630642">
        <w:rPr>
          <w:rFonts w:ascii="Arial" w:eastAsia="Times New Roman" w:hAnsi="Arial" w:cs="Arial"/>
          <w:color w:val="000000"/>
        </w:rPr>
        <w:t>withdrawn;</w:t>
      </w:r>
      <w:proofErr w:type="gramEnd"/>
    </w:p>
    <w:p w14:paraId="1106F643" w14:textId="6232C375" w:rsidR="732C847E" w:rsidRDefault="00630642" w:rsidP="00630642">
      <w:pPr>
        <w:rPr>
          <w:rFonts w:ascii="Arial" w:eastAsia="Times New Roman" w:hAnsi="Arial" w:cs="Arial"/>
          <w:color w:val="000000"/>
        </w:rPr>
      </w:pPr>
      <w:r w:rsidRPr="00630642">
        <w:rPr>
          <w:rFonts w:ascii="Arial" w:eastAsia="Times New Roman" w:hAnsi="Arial" w:cs="Arial"/>
          <w:color w:val="000000"/>
        </w:rPr>
        <w:t xml:space="preserve">the prospective </w:t>
      </w:r>
      <w:proofErr w:type="spellStart"/>
      <w:r w:rsidRPr="00630642">
        <w:rPr>
          <w:rFonts w:ascii="Arial" w:eastAsia="Times New Roman" w:hAnsi="Arial" w:cs="Arial"/>
          <w:color w:val="000000"/>
        </w:rPr>
        <w:t>employee</w:t>
      </w:r>
      <w:proofErr w:type="spellEnd"/>
      <w:r w:rsidRPr="00630642">
        <w:rPr>
          <w:rFonts w:ascii="Arial" w:eastAsia="Times New Roman" w:hAnsi="Arial" w:cs="Arial"/>
          <w:color w:val="000000"/>
        </w:rPr>
        <w:t>/employee must be provided specific information regarding the purpose and extent of processing, including, where applicable, the automated processing of his or her personal data for profiling, or processing for direct marketing, and data sharing. Purpose should be determined and declared before.</w:t>
      </w:r>
    </w:p>
    <w:p w14:paraId="0AC65C85" w14:textId="77777777" w:rsidR="00630642" w:rsidRDefault="00630642" w:rsidP="00630642">
      <w:pPr>
        <w:rPr>
          <w:rFonts w:ascii="Arial" w:eastAsia="Times New Roman" w:hAnsi="Arial" w:cs="Arial"/>
          <w:color w:val="000000" w:themeColor="text1"/>
        </w:rPr>
      </w:pPr>
    </w:p>
    <w:p w14:paraId="53222B7A"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6C6A98F5" w14:textId="77777777" w:rsidR="00630642" w:rsidRPr="00630642" w:rsidRDefault="00630642" w:rsidP="00630642">
      <w:pPr>
        <w:rPr>
          <w:rFonts w:ascii="Arial" w:eastAsia="Arial" w:hAnsi="Arial" w:cs="Arial"/>
          <w:color w:val="202020"/>
        </w:rPr>
      </w:pPr>
      <w:r w:rsidRPr="00630642">
        <w:rPr>
          <w:rFonts w:ascii="Arial" w:eastAsia="Arial" w:hAnsi="Arial" w:cs="Arial"/>
          <w:color w:val="202020"/>
        </w:rPr>
        <w:t>Manila Accessible Information and Communications Technologies (ICT) Design Recommendations</w:t>
      </w:r>
    </w:p>
    <w:p w14:paraId="507AF32D" w14:textId="77777777" w:rsidR="00630642" w:rsidRPr="00630642" w:rsidRDefault="00630642" w:rsidP="00630642">
      <w:pPr>
        <w:rPr>
          <w:rFonts w:ascii="Arial" w:eastAsia="Arial" w:hAnsi="Arial" w:cs="Arial"/>
          <w:color w:val="202020"/>
        </w:rPr>
      </w:pPr>
    </w:p>
    <w:p w14:paraId="17CFEF13" w14:textId="77777777" w:rsidR="00630642" w:rsidRPr="00630642" w:rsidRDefault="00630642" w:rsidP="00630642">
      <w:pPr>
        <w:rPr>
          <w:rFonts w:ascii="Arial" w:eastAsia="Arial" w:hAnsi="Arial" w:cs="Arial"/>
          <w:color w:val="202020"/>
        </w:rPr>
      </w:pPr>
      <w:r w:rsidRPr="00630642">
        <w:rPr>
          <w:rFonts w:ascii="Arial" w:eastAsia="Arial" w:hAnsi="Arial" w:cs="Arial"/>
          <w:color w:val="202020"/>
        </w:rPr>
        <w:t>Manila Declaration on Accessible Information and Communications Technology (ICT)</w:t>
      </w:r>
    </w:p>
    <w:p w14:paraId="1F136AB2" w14:textId="77777777" w:rsidR="00630642" w:rsidRPr="00630642" w:rsidRDefault="00630642" w:rsidP="00630642">
      <w:pPr>
        <w:rPr>
          <w:rFonts w:ascii="Arial" w:eastAsia="Arial" w:hAnsi="Arial" w:cs="Arial"/>
          <w:color w:val="202020"/>
        </w:rPr>
      </w:pPr>
    </w:p>
    <w:p w14:paraId="1C4DEF73" w14:textId="46F0EA62" w:rsidR="732C847E" w:rsidRDefault="00630642" w:rsidP="00630642">
      <w:pPr>
        <w:rPr>
          <w:rFonts w:ascii="Arial" w:eastAsia="Arial" w:hAnsi="Arial" w:cs="Arial"/>
          <w:color w:val="202020"/>
        </w:rPr>
      </w:pPr>
      <w:r w:rsidRPr="00630642">
        <w:rPr>
          <w:rFonts w:ascii="Arial" w:eastAsia="Arial" w:hAnsi="Arial" w:cs="Arial"/>
          <w:color w:val="202020"/>
        </w:rPr>
        <w:t>Reasonable Accommodation include 1) improvement of existing facilities used by employees in order to render these readily accessible to and usable by disabled persons; and 2) modification of work schedules, reassignment to a vacant position, acquisition or modification of equipment or devices, appropriate adjustments or modifications of examinations, training materials or company policies, rules and regulations, the provision of auxiliary aids and services, and other similar accommodations for disabled persons;</w:t>
      </w:r>
    </w:p>
    <w:p w14:paraId="2F082F1D" w14:textId="77777777" w:rsidR="00630642" w:rsidRDefault="00630642" w:rsidP="00630642">
      <w:pPr>
        <w:rPr>
          <w:rFonts w:ascii="Arial" w:eastAsia="Arial" w:hAnsi="Arial" w:cs="Arial"/>
          <w:color w:val="202020"/>
        </w:rPr>
      </w:pPr>
    </w:p>
    <w:p w14:paraId="74E7D0F0"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4F418C4B" w14:textId="77777777" w:rsidR="00630642" w:rsidRPr="00630642" w:rsidRDefault="00630642" w:rsidP="00630642">
      <w:pPr>
        <w:rPr>
          <w:rFonts w:ascii="Arial" w:eastAsia="Times New Roman" w:hAnsi="Arial" w:cs="Arial"/>
          <w:color w:val="000000"/>
        </w:rPr>
      </w:pPr>
      <w:r w:rsidRPr="00630642">
        <w:rPr>
          <w:rFonts w:ascii="Arial" w:eastAsia="Times New Roman" w:hAnsi="Arial" w:cs="Arial"/>
          <w:color w:val="000000"/>
        </w:rPr>
        <w:t xml:space="preserve">Legal requirements exist for </w:t>
      </w:r>
      <w:proofErr w:type="gramStart"/>
      <w:r w:rsidRPr="00630642">
        <w:rPr>
          <w:rFonts w:ascii="Arial" w:eastAsia="Times New Roman" w:hAnsi="Arial" w:cs="Arial"/>
          <w:color w:val="000000"/>
        </w:rPr>
        <w:t>employment</w:t>
      </w:r>
      <w:proofErr w:type="gramEnd"/>
      <w:r w:rsidRPr="00630642">
        <w:rPr>
          <w:rFonts w:ascii="Arial" w:eastAsia="Times New Roman" w:hAnsi="Arial" w:cs="Arial"/>
          <w:color w:val="000000"/>
        </w:rPr>
        <w:t xml:space="preserve"> yet implementation and oversight of the laws remain challenged like other laws in The Philippines.</w:t>
      </w:r>
    </w:p>
    <w:p w14:paraId="20AFFFE6" w14:textId="77777777" w:rsidR="00630642" w:rsidRPr="00630642" w:rsidRDefault="00630642" w:rsidP="00630642">
      <w:pPr>
        <w:rPr>
          <w:rFonts w:ascii="Arial" w:eastAsia="Times New Roman" w:hAnsi="Arial" w:cs="Arial"/>
          <w:color w:val="000000"/>
        </w:rPr>
      </w:pPr>
    </w:p>
    <w:p w14:paraId="1AF8EE8D" w14:textId="77777777" w:rsidR="00630642" w:rsidRPr="00630642" w:rsidRDefault="00630642" w:rsidP="00630642">
      <w:pPr>
        <w:rPr>
          <w:rFonts w:ascii="Arial" w:eastAsia="Times New Roman" w:hAnsi="Arial" w:cs="Arial"/>
          <w:color w:val="000000"/>
        </w:rPr>
      </w:pPr>
      <w:r w:rsidRPr="00630642">
        <w:rPr>
          <w:rFonts w:ascii="Arial" w:eastAsia="Times New Roman" w:hAnsi="Arial" w:cs="Arial"/>
          <w:color w:val="000000"/>
        </w:rPr>
        <w:t xml:space="preserve">Systematic data gathering remains one of the country’s great </w:t>
      </w:r>
      <w:proofErr w:type="gramStart"/>
      <w:r w:rsidRPr="00630642">
        <w:rPr>
          <w:rFonts w:ascii="Arial" w:eastAsia="Times New Roman" w:hAnsi="Arial" w:cs="Arial"/>
          <w:color w:val="000000"/>
        </w:rPr>
        <w:t>challenge</w:t>
      </w:r>
      <w:proofErr w:type="gramEnd"/>
      <w:r w:rsidRPr="00630642">
        <w:rPr>
          <w:rFonts w:ascii="Arial" w:eastAsia="Times New Roman" w:hAnsi="Arial" w:cs="Arial"/>
          <w:color w:val="000000"/>
        </w:rPr>
        <w:t xml:space="preserve"> considering the fact how fragmented the Philippine’s 7,100 islands are and how severe the economic problems loom over its people. This prevents / hinders the Philippine Government from developing the right programs for the disabled sector.</w:t>
      </w:r>
    </w:p>
    <w:p w14:paraId="5AE46273" w14:textId="77777777" w:rsidR="00630642" w:rsidRPr="00630642" w:rsidRDefault="00630642" w:rsidP="00630642">
      <w:pPr>
        <w:rPr>
          <w:rFonts w:ascii="Arial" w:eastAsia="Times New Roman" w:hAnsi="Arial" w:cs="Arial"/>
          <w:color w:val="000000"/>
        </w:rPr>
      </w:pPr>
    </w:p>
    <w:p w14:paraId="5B9E217A" w14:textId="06A1BDB5" w:rsidR="001D3DFA" w:rsidRPr="001D3DFA" w:rsidRDefault="00630642" w:rsidP="00630642">
      <w:pPr>
        <w:rPr>
          <w:rFonts w:ascii="Times New Roman" w:eastAsia="Times New Roman" w:hAnsi="Times New Roman" w:cs="Times New Roman"/>
          <w:color w:val="000000"/>
        </w:rPr>
      </w:pPr>
      <w:r w:rsidRPr="00630642">
        <w:rPr>
          <w:rFonts w:ascii="Arial" w:eastAsia="Times New Roman" w:hAnsi="Arial" w:cs="Arial"/>
          <w:color w:val="000000"/>
        </w:rPr>
        <w:t>Sheltered workshops remain in place and are common employment options for people with disabilities.</w:t>
      </w:r>
      <w:r w:rsidR="001D3DFA" w:rsidRPr="001D3DFA">
        <w:rPr>
          <w:rFonts w:ascii="Arial" w:eastAsia="Times New Roman" w:hAnsi="Arial" w:cs="Arial"/>
          <w:color w:val="000000"/>
        </w:rPr>
        <w:t> </w:t>
      </w:r>
    </w:p>
    <w:p w14:paraId="5C7736AF"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5ED3000E" w14:textId="77777777" w:rsidR="00630642" w:rsidRPr="00630642" w:rsidRDefault="00630642" w:rsidP="00630642">
      <w:pPr>
        <w:rPr>
          <w:rFonts w:ascii="Arial" w:eastAsia="Times New Roman" w:hAnsi="Arial" w:cs="Arial"/>
          <w:color w:val="000000" w:themeColor="text1"/>
        </w:rPr>
      </w:pPr>
      <w:r w:rsidRPr="00630642">
        <w:rPr>
          <w:rFonts w:ascii="Arial" w:eastAsia="Times New Roman" w:hAnsi="Arial" w:cs="Arial"/>
          <w:color w:val="000000" w:themeColor="text1"/>
        </w:rPr>
        <w:t>The Philippine Statistics Authority recorded a total of 1.443 million people in The Philippines (1.57% of the total population of 92.1 million people) had disability as of 2010.</w:t>
      </w:r>
    </w:p>
    <w:p w14:paraId="5FB5F5B2" w14:textId="77777777" w:rsidR="00630642" w:rsidRPr="00630642" w:rsidRDefault="00630642" w:rsidP="00630642">
      <w:pPr>
        <w:rPr>
          <w:rFonts w:ascii="Arial" w:eastAsia="Times New Roman" w:hAnsi="Arial" w:cs="Arial"/>
          <w:color w:val="000000" w:themeColor="text1"/>
        </w:rPr>
      </w:pPr>
    </w:p>
    <w:p w14:paraId="29E2B9BC" w14:textId="77777777" w:rsidR="00630642" w:rsidRDefault="00630642" w:rsidP="00630642">
      <w:pPr>
        <w:rPr>
          <w:rFonts w:ascii="Arial" w:eastAsia="Times New Roman" w:hAnsi="Arial" w:cs="Arial"/>
          <w:color w:val="000000" w:themeColor="text1"/>
        </w:rPr>
      </w:pPr>
      <w:r w:rsidRPr="00630642">
        <w:rPr>
          <w:rFonts w:ascii="Arial" w:eastAsia="Times New Roman" w:hAnsi="Arial" w:cs="Arial"/>
          <w:color w:val="000000" w:themeColor="text1"/>
        </w:rPr>
        <w:t>The World Health Organization (WHO) estimates that 10M or 10% percent of the total population of The Philippines is comprised of persons with physical, sensory, or mental impairment.</w:t>
      </w:r>
    </w:p>
    <w:p w14:paraId="581191F4" w14:textId="77777777" w:rsidR="00630642" w:rsidRDefault="00630642" w:rsidP="00630642">
      <w:pPr>
        <w:rPr>
          <w:rFonts w:ascii="Arial" w:eastAsia="Times New Roman" w:hAnsi="Arial" w:cs="Arial"/>
          <w:color w:val="000000" w:themeColor="text1"/>
        </w:rPr>
      </w:pPr>
    </w:p>
    <w:p w14:paraId="60E4B0F9" w14:textId="79FC1DD6" w:rsidR="009B3478" w:rsidRDefault="1F0BE2F3" w:rsidP="00630642">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61A4BB2E" w14:textId="77777777" w:rsidR="00630642" w:rsidRPr="00630642" w:rsidRDefault="00630642" w:rsidP="00630642">
      <w:pPr>
        <w:rPr>
          <w:rFonts w:ascii="Arial" w:eastAsia="Arial" w:hAnsi="Arial" w:cs="Arial"/>
          <w:color w:val="000000" w:themeColor="text1"/>
          <w:lang w:val="en"/>
        </w:rPr>
      </w:pPr>
      <w:r w:rsidRPr="00630642">
        <w:rPr>
          <w:rFonts w:ascii="Arial" w:eastAsia="Arial" w:hAnsi="Arial" w:cs="Arial"/>
          <w:color w:val="000000" w:themeColor="text1"/>
          <w:lang w:val="en"/>
        </w:rPr>
        <w:lastRenderedPageBreak/>
        <w:t xml:space="preserve">Although employers operating in The Philippines have supplier diversity programs, we do not have any partners with international supplier certifications programs in The Philippines </w:t>
      </w:r>
      <w:proofErr w:type="gramStart"/>
      <w:r w:rsidRPr="00630642">
        <w:rPr>
          <w:rFonts w:ascii="Arial" w:eastAsia="Arial" w:hAnsi="Arial" w:cs="Arial"/>
          <w:color w:val="000000" w:themeColor="text1"/>
          <w:lang w:val="en"/>
        </w:rPr>
        <w:t>at this time</w:t>
      </w:r>
      <w:proofErr w:type="gramEnd"/>
      <w:r w:rsidRPr="00630642">
        <w:rPr>
          <w:rFonts w:ascii="Arial" w:eastAsia="Arial" w:hAnsi="Arial" w:cs="Arial"/>
          <w:color w:val="000000" w:themeColor="text1"/>
          <w:lang w:val="en"/>
        </w:rPr>
        <w:t>.</w:t>
      </w:r>
    </w:p>
    <w:p w14:paraId="07ADB14D" w14:textId="77777777" w:rsidR="00630642" w:rsidRPr="00630642" w:rsidRDefault="00630642" w:rsidP="00630642">
      <w:pPr>
        <w:rPr>
          <w:rFonts w:ascii="Arial" w:eastAsia="Arial" w:hAnsi="Arial" w:cs="Arial"/>
          <w:color w:val="000000" w:themeColor="text1"/>
          <w:lang w:val="en"/>
        </w:rPr>
      </w:pPr>
    </w:p>
    <w:p w14:paraId="7846717D" w14:textId="77777777" w:rsidR="00630642" w:rsidRDefault="00630642" w:rsidP="00630642">
      <w:pPr>
        <w:rPr>
          <w:rFonts w:ascii="Arial" w:eastAsia="Arial" w:hAnsi="Arial" w:cs="Arial"/>
          <w:color w:val="000000" w:themeColor="text1"/>
          <w:lang w:val="en"/>
        </w:rPr>
      </w:pPr>
      <w:r w:rsidRPr="00630642">
        <w:rPr>
          <w:rFonts w:ascii="Arial" w:eastAsia="Arial" w:hAnsi="Arial" w:cs="Arial"/>
          <w:color w:val="000000" w:themeColor="text1"/>
          <w:lang w:val="en"/>
        </w:rPr>
        <w:t>Identified for expansion phase of the Out and Equal Global Network</w:t>
      </w:r>
    </w:p>
    <w:p w14:paraId="6B683DEF" w14:textId="77777777" w:rsidR="00630642" w:rsidRDefault="00630642" w:rsidP="00630642">
      <w:pPr>
        <w:rPr>
          <w:rFonts w:ascii="Arial" w:eastAsia="Arial" w:hAnsi="Arial" w:cs="Arial"/>
          <w:color w:val="000000" w:themeColor="text1"/>
          <w:lang w:val="en"/>
        </w:rPr>
      </w:pPr>
    </w:p>
    <w:p w14:paraId="2A560CE6" w14:textId="417CCA43" w:rsidR="1F0BE2F3" w:rsidRDefault="1F0BE2F3" w:rsidP="00630642">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122568B1" w14:textId="77777777" w:rsidR="00630642" w:rsidRPr="00630642" w:rsidRDefault="00630642" w:rsidP="00630642">
      <w:pPr>
        <w:rPr>
          <w:rFonts w:ascii="Arial" w:eastAsia="Arial" w:hAnsi="Arial" w:cs="Arial"/>
          <w:color w:val="000000" w:themeColor="text1"/>
        </w:rPr>
      </w:pPr>
      <w:r w:rsidRPr="00630642">
        <w:rPr>
          <w:rFonts w:ascii="Arial" w:eastAsia="Arial" w:hAnsi="Arial" w:cs="Arial"/>
          <w:color w:val="000000" w:themeColor="text1"/>
        </w:rPr>
        <w:t>Leonard Cheshire Disability Philippines Foundation, Inc. (LCDPFI)</w:t>
      </w:r>
    </w:p>
    <w:p w14:paraId="402E18DB" w14:textId="77777777" w:rsidR="00630642" w:rsidRPr="00630642" w:rsidRDefault="00630642" w:rsidP="00630642">
      <w:pPr>
        <w:rPr>
          <w:rFonts w:ascii="Arial" w:eastAsia="Arial" w:hAnsi="Arial" w:cs="Arial"/>
          <w:color w:val="000000" w:themeColor="text1"/>
        </w:rPr>
      </w:pPr>
    </w:p>
    <w:p w14:paraId="437C5922" w14:textId="77777777" w:rsidR="00630642" w:rsidRPr="00630642" w:rsidRDefault="00630642" w:rsidP="00630642">
      <w:pPr>
        <w:rPr>
          <w:rFonts w:ascii="Arial" w:eastAsia="Arial" w:hAnsi="Arial" w:cs="Arial"/>
          <w:color w:val="000000" w:themeColor="text1"/>
        </w:rPr>
      </w:pPr>
      <w:r w:rsidRPr="00630642">
        <w:rPr>
          <w:rFonts w:ascii="Arial" w:eastAsia="Arial" w:hAnsi="Arial" w:cs="Arial"/>
          <w:color w:val="000000" w:themeColor="text1"/>
        </w:rPr>
        <w:t xml:space="preserve">Negosyo Center Provides businesses with sensitivity workshops and hosts career fairs for people with disabilities seeking </w:t>
      </w:r>
      <w:proofErr w:type="gramStart"/>
      <w:r w:rsidRPr="00630642">
        <w:rPr>
          <w:rFonts w:ascii="Arial" w:eastAsia="Arial" w:hAnsi="Arial" w:cs="Arial"/>
          <w:color w:val="000000" w:themeColor="text1"/>
        </w:rPr>
        <w:t>employment</w:t>
      </w:r>
      <w:proofErr w:type="gramEnd"/>
    </w:p>
    <w:p w14:paraId="14744372" w14:textId="77777777" w:rsidR="00630642" w:rsidRPr="00630642" w:rsidRDefault="00630642" w:rsidP="00630642">
      <w:pPr>
        <w:rPr>
          <w:rFonts w:ascii="Arial" w:eastAsia="Arial" w:hAnsi="Arial" w:cs="Arial"/>
          <w:color w:val="000000" w:themeColor="text1"/>
        </w:rPr>
      </w:pPr>
    </w:p>
    <w:p w14:paraId="3A2B0873" w14:textId="4B4C3AF0" w:rsidR="45458C28" w:rsidRDefault="00630642" w:rsidP="00630642">
      <w:pPr>
        <w:rPr>
          <w:rFonts w:ascii="Arial" w:eastAsia="Arial" w:hAnsi="Arial" w:cs="Arial"/>
          <w:color w:val="000000" w:themeColor="text1"/>
        </w:rPr>
      </w:pPr>
      <w:r w:rsidRPr="00630642">
        <w:rPr>
          <w:rFonts w:ascii="Arial" w:eastAsia="Arial" w:hAnsi="Arial" w:cs="Arial"/>
          <w:color w:val="000000" w:themeColor="text1"/>
        </w:rPr>
        <w:t>SME Roving Academy (SMERA) is a continuous learning program for the development of micro, small and medium enterprises (MSMEs) to become competitive in the domestic and international markets.</w:t>
      </w:r>
    </w:p>
    <w:p w14:paraId="161CE234" w14:textId="77777777" w:rsidR="00630642" w:rsidRDefault="00630642" w:rsidP="00630642">
      <w:pPr>
        <w:rPr>
          <w:rFonts w:ascii="Arial" w:eastAsia="Arial" w:hAnsi="Arial" w:cs="Arial"/>
          <w:color w:val="000000" w:themeColor="text1"/>
        </w:rPr>
      </w:pPr>
    </w:p>
    <w:p w14:paraId="1FEFFA06"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462DFC2A" w14:textId="77777777" w:rsidR="00630642" w:rsidRDefault="00630642" w:rsidP="00630642">
      <w:r>
        <w:t xml:space="preserve">The National Council on Disability Affairs (NCDA) is the </w:t>
      </w:r>
      <w:proofErr w:type="spellStart"/>
      <w:r>
        <w:t>the</w:t>
      </w:r>
      <w:proofErr w:type="spellEnd"/>
      <w:r>
        <w:t xml:space="preserve"> lead agency tasked to steer the course of program development for persons with disabilities and the delivery of services to the sector.</w:t>
      </w:r>
    </w:p>
    <w:p w14:paraId="6D2FB72A" w14:textId="77777777" w:rsidR="00630642" w:rsidRDefault="00630642" w:rsidP="00630642"/>
    <w:p w14:paraId="5A92B347" w14:textId="77777777" w:rsidR="00630642" w:rsidRDefault="00630642" w:rsidP="00630642">
      <w:r>
        <w:t xml:space="preserve">The NCDA is tasked to monitor the implementation of several laws to ensure the protection of PWDs’ civil and political rights. These laws include Republic Act No 7277 (Magna Carta for Disabled Persons), Batas Pambansa </w:t>
      </w:r>
      <w:proofErr w:type="spellStart"/>
      <w:r>
        <w:t>Blg</w:t>
      </w:r>
      <w:proofErr w:type="spellEnd"/>
      <w:r>
        <w:t xml:space="preserve">. 344 (Accessibility Law), Republic Act 6759 (White Cane Act) and ILO Convention No. 159 (Vocational Rehabilitation of Persons </w:t>
      </w:r>
      <w:proofErr w:type="gramStart"/>
      <w:r>
        <w:t>With</w:t>
      </w:r>
      <w:proofErr w:type="gramEnd"/>
      <w:r>
        <w:t xml:space="preserve"> Disability). It has also been tasked, through Proclamation No. 125, to coordinate activities and to monitor the observance of the Asian and Pacific Decade of Disabled Persons (1993-2002) in the Philippines. Proclamation No. 125 was issued by the President on January 15, 1993, to enjoin both the government and the private entities to organize projects based on the policy categories mentioned in the agenda for action of the decade.</w:t>
      </w:r>
    </w:p>
    <w:p w14:paraId="48F48FB9" w14:textId="77777777" w:rsidR="00630642" w:rsidRDefault="00630642" w:rsidP="00630642"/>
    <w:p w14:paraId="693A7962" w14:textId="77777777" w:rsidR="00630642" w:rsidRDefault="00630642" w:rsidP="00630642">
      <w:r>
        <w:t>ASEAN Disability Forum (ASEAN-DF) is a network composed by DPOs of the ASEAN countries of Southeast Asia. It is a platform where DPOs coordinate actions to advocate for disability inclusive policy formulation and implementation.</w:t>
      </w:r>
    </w:p>
    <w:p w14:paraId="034F81E4" w14:textId="77777777" w:rsidR="00630642" w:rsidRDefault="00630642" w:rsidP="00630642"/>
    <w:p w14:paraId="1C36C0C7" w14:textId="77777777" w:rsidR="00630642" w:rsidRDefault="00630642" w:rsidP="00630642">
      <w:proofErr w:type="spellStart"/>
      <w:r>
        <w:t>Tahanang</w:t>
      </w:r>
      <w:proofErr w:type="spellEnd"/>
      <w:r>
        <w:t xml:space="preserve"> Walang </w:t>
      </w:r>
      <w:proofErr w:type="spellStart"/>
      <w:r>
        <w:t>Hagdan</w:t>
      </w:r>
      <w:proofErr w:type="spellEnd"/>
      <w:r>
        <w:t>, Inc., an NGO in Cainta, Rizal –non-profit and non-government organization that aims to uplift the lives of the “Orthopedically handicapped persons.” It has rehabilitation and skills training center with sheltered workshops where the people with disabilities are trained to be productive and self-reliant member of the society. They employ disabled workers for the manufacture of wheelchairs, school desks and educational aids.</w:t>
      </w:r>
    </w:p>
    <w:p w14:paraId="7B8E4791" w14:textId="77777777" w:rsidR="00630642" w:rsidRDefault="00630642" w:rsidP="00630642"/>
    <w:p w14:paraId="1C5C7C24" w14:textId="77777777" w:rsidR="00630642" w:rsidRDefault="00630642" w:rsidP="00630642">
      <w:r>
        <w:t xml:space="preserve">Cross Foundation Agency for the Rehabilitation of the Disabled (CFARD) – non-profit, non-government organization committed to hold persons with disability to be productive, and self-reliant members of the society through various </w:t>
      </w:r>
      <w:proofErr w:type="gramStart"/>
      <w:r>
        <w:t>community based</w:t>
      </w:r>
      <w:proofErr w:type="gramEnd"/>
      <w:r>
        <w:t xml:space="preserve"> projects.</w:t>
      </w:r>
    </w:p>
    <w:p w14:paraId="23132B4D" w14:textId="77777777" w:rsidR="00630642" w:rsidRDefault="00630642" w:rsidP="00630642"/>
    <w:p w14:paraId="3170E19F" w14:textId="77777777" w:rsidR="00630642" w:rsidRDefault="00630642" w:rsidP="00630642">
      <w:r>
        <w:t>St. Joseph the Worker Parish, through its Livelihood and Training Center – it has been one of the many church-based responses to the call of equal opportunities for the persons with disabilities. During the graduation of the first batch of the Food Processing Seminar, one graduate, a polio victim walked in his crutches to receive his diploma.</w:t>
      </w:r>
    </w:p>
    <w:p w14:paraId="528C5086" w14:textId="77777777" w:rsidR="00630642" w:rsidRDefault="00630642" w:rsidP="00630642"/>
    <w:p w14:paraId="5F852542" w14:textId="6BFA149F" w:rsidR="45458C28" w:rsidRDefault="00630642" w:rsidP="00630642">
      <w:pPr>
        <w:rPr>
          <w:rFonts w:ascii="Arial" w:eastAsia="Arial" w:hAnsi="Arial" w:cs="Arial"/>
        </w:rPr>
      </w:pPr>
      <w:r>
        <w:t>Directory of Disability Service Organizations and Disabled Persons Organizations in The Philippines.</w:t>
      </w:r>
    </w:p>
    <w:p w14:paraId="11F35110" w14:textId="4844497A"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37511A9D" w14:textId="74FD475D" w:rsidR="00630642" w:rsidRDefault="00000000" w:rsidP="00630642">
      <w:hyperlink r:id="rId9" w:history="1">
        <w:r w:rsidR="00630642" w:rsidRPr="00630642">
          <w:rPr>
            <w:rStyle w:val="Hyperlink"/>
          </w:rPr>
          <w:t>A Glimpse of the Employment Status of Persons with Disabilities in the Philippines from a Cebuano Perspective</w:t>
        </w:r>
      </w:hyperlink>
    </w:p>
    <w:p w14:paraId="3D76DCB1" w14:textId="77777777" w:rsidR="00630642" w:rsidRDefault="00630642" w:rsidP="00630642"/>
    <w:p w14:paraId="13FD3C1C" w14:textId="0A090CAB" w:rsidR="00630642" w:rsidRDefault="00000000" w:rsidP="00630642">
      <w:hyperlink r:id="rId10" w:history="1">
        <w:r w:rsidR="00630642" w:rsidRPr="00630642">
          <w:rPr>
            <w:rStyle w:val="Hyperlink"/>
          </w:rPr>
          <w:t>Rapid assessment of disability in the Philippines: understanding prevalence, well-being, and access to the community for people with disabilities to inform the W-DARE project</w:t>
        </w:r>
      </w:hyperlink>
    </w:p>
    <w:p w14:paraId="74F7AE6C" w14:textId="77777777" w:rsidR="00630642" w:rsidRDefault="00630642" w:rsidP="00630642"/>
    <w:p w14:paraId="193C713F" w14:textId="5CEB6489" w:rsidR="45458C28" w:rsidRDefault="00630642" w:rsidP="00630642">
      <w:r>
        <w:t>Department of Trade Disability Employment Framework</w:t>
      </w:r>
    </w:p>
    <w:p w14:paraId="7313934A" w14:textId="77777777" w:rsidR="00A04012" w:rsidRDefault="00A04012" w:rsidP="00630642"/>
    <w:p w14:paraId="7EAD3FEE" w14:textId="0AB187BA" w:rsidR="00A04012" w:rsidRDefault="00000000" w:rsidP="00630642">
      <w:hyperlink r:id="rId11" w:history="1">
        <w:r w:rsidR="00A04012" w:rsidRPr="00A04012">
          <w:rPr>
            <w:rStyle w:val="Hyperlink"/>
          </w:rPr>
          <w:t>Philippines – Magna Carta for Disabled Persons</w:t>
        </w:r>
      </w:hyperlink>
    </w:p>
    <w:p w14:paraId="3BE5B4AC" w14:textId="77777777" w:rsidR="00630642" w:rsidRDefault="00630642" w:rsidP="00630642"/>
    <w:p w14:paraId="75ECFFD8" w14:textId="5420B2A0" w:rsidR="00630642" w:rsidRDefault="00630642" w:rsidP="00630642">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037D5CCF" w14:textId="68C7CD6D" w:rsidR="00630642" w:rsidRPr="00630642" w:rsidRDefault="00000000" w:rsidP="00630642">
      <w:pPr>
        <w:rPr>
          <w:rFonts w:ascii="Arial" w:eastAsia="Times New Roman" w:hAnsi="Arial" w:cs="Arial"/>
          <w:color w:val="000000" w:themeColor="text1"/>
        </w:rPr>
      </w:pPr>
      <w:hyperlink r:id="rId12" w:history="1">
        <w:proofErr w:type="spellStart"/>
        <w:r w:rsidR="00630642" w:rsidRPr="00630642">
          <w:rPr>
            <w:rStyle w:val="Hyperlink"/>
            <w:rFonts w:ascii="Arial" w:eastAsia="Times New Roman" w:hAnsi="Arial" w:cs="Arial"/>
          </w:rPr>
          <w:t>Unilab</w:t>
        </w:r>
        <w:proofErr w:type="spellEnd"/>
        <w:r w:rsidR="00630642" w:rsidRPr="00630642">
          <w:rPr>
            <w:rStyle w:val="Hyperlink"/>
            <w:rFonts w:ascii="Arial" w:eastAsia="Times New Roman" w:hAnsi="Arial" w:cs="Arial"/>
          </w:rPr>
          <w:t xml:space="preserve"> Foundation</w:t>
        </w:r>
      </w:hyperlink>
      <w:r w:rsidR="00630642" w:rsidRPr="00630642">
        <w:rPr>
          <w:rFonts w:ascii="Arial" w:eastAsia="Times New Roman" w:hAnsi="Arial" w:cs="Arial"/>
          <w:color w:val="000000" w:themeColor="text1"/>
        </w:rPr>
        <w:t xml:space="preserve"> – Create the enabling environment for inclusive development through social innovations and impactful programs that will improve the mental health and well-being of young </w:t>
      </w:r>
      <w:proofErr w:type="gramStart"/>
      <w:r w:rsidR="00630642" w:rsidRPr="00630642">
        <w:rPr>
          <w:rFonts w:ascii="Arial" w:eastAsia="Times New Roman" w:hAnsi="Arial" w:cs="Arial"/>
          <w:color w:val="000000" w:themeColor="text1"/>
        </w:rPr>
        <w:t>Filipinos</w:t>
      </w:r>
      <w:proofErr w:type="gramEnd"/>
    </w:p>
    <w:sectPr w:rsidR="00630642" w:rsidRPr="006306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1F0098E"/>
    <w:multiLevelType w:val="hybridMultilevel"/>
    <w:tmpl w:val="E24C0B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7281585">
    <w:abstractNumId w:val="0"/>
  </w:num>
  <w:num w:numId="2" w16cid:durableId="1672222866">
    <w:abstractNumId w:val="1"/>
    <w:lvlOverride w:ilvl="0">
      <w:lvl w:ilvl="0">
        <w:numFmt w:val="decimal"/>
        <w:lvlText w:val="%1."/>
        <w:lvlJc w:val="left"/>
      </w:lvl>
    </w:lvlOverride>
  </w:num>
  <w:num w:numId="3" w16cid:durableId="18601184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642"/>
    <w:rsid w:val="001D3DFA"/>
    <w:rsid w:val="005D006B"/>
    <w:rsid w:val="00630642"/>
    <w:rsid w:val="007C7F99"/>
    <w:rsid w:val="00916320"/>
    <w:rsid w:val="00964BD5"/>
    <w:rsid w:val="00970B42"/>
    <w:rsid w:val="009B3478"/>
    <w:rsid w:val="00A04012"/>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FAC778"/>
  <w15:chartTrackingRefBased/>
  <w15:docId w15:val="{8B8E36D7-AD11-D44B-A28F-8B3475C01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630642"/>
    <w:pPr>
      <w:ind w:left="720"/>
      <w:contextualSpacing/>
    </w:pPr>
  </w:style>
  <w:style w:type="character" w:styleId="UnresolvedMention">
    <w:name w:val="Unresolved Mention"/>
    <w:basedOn w:val="DefaultParagraphFont"/>
    <w:uiPriority w:val="99"/>
    <w:semiHidden/>
    <w:unhideWhenUsed/>
    <w:rsid w:val="00630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73654">
      <w:bodyDiv w:val="1"/>
      <w:marLeft w:val="0"/>
      <w:marRight w:val="0"/>
      <w:marTop w:val="0"/>
      <w:marBottom w:val="0"/>
      <w:divBdr>
        <w:top w:val="none" w:sz="0" w:space="0" w:color="auto"/>
        <w:left w:val="none" w:sz="0" w:space="0" w:color="auto"/>
        <w:bottom w:val="none" w:sz="0" w:space="0" w:color="auto"/>
        <w:right w:val="none" w:sz="0" w:space="0" w:color="auto"/>
      </w:divBdr>
    </w:div>
    <w:div w:id="307979095">
      <w:bodyDiv w:val="1"/>
      <w:marLeft w:val="0"/>
      <w:marRight w:val="0"/>
      <w:marTop w:val="0"/>
      <w:marBottom w:val="0"/>
      <w:divBdr>
        <w:top w:val="none" w:sz="0" w:space="0" w:color="auto"/>
        <w:left w:val="none" w:sz="0" w:space="0" w:color="auto"/>
        <w:bottom w:val="none" w:sz="0" w:space="0" w:color="auto"/>
        <w:right w:val="none" w:sz="0" w:space="0" w:color="auto"/>
      </w:divBdr>
    </w:div>
    <w:div w:id="701513115">
      <w:bodyDiv w:val="1"/>
      <w:marLeft w:val="0"/>
      <w:marRight w:val="0"/>
      <w:marTop w:val="0"/>
      <w:marBottom w:val="0"/>
      <w:divBdr>
        <w:top w:val="none" w:sz="0" w:space="0" w:color="auto"/>
        <w:left w:val="none" w:sz="0" w:space="0" w:color="auto"/>
        <w:bottom w:val="none" w:sz="0" w:space="0" w:color="auto"/>
        <w:right w:val="none" w:sz="0" w:space="0" w:color="auto"/>
      </w:divBdr>
    </w:div>
    <w:div w:id="1065880371">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540163804">
      <w:bodyDiv w:val="1"/>
      <w:marLeft w:val="0"/>
      <w:marRight w:val="0"/>
      <w:marTop w:val="0"/>
      <w:marBottom w:val="0"/>
      <w:divBdr>
        <w:top w:val="none" w:sz="0" w:space="0" w:color="auto"/>
        <w:left w:val="none" w:sz="0" w:space="0" w:color="auto"/>
        <w:bottom w:val="none" w:sz="0" w:space="0" w:color="auto"/>
        <w:right w:val="none" w:sz="0" w:space="0" w:color="auto"/>
      </w:divBdr>
    </w:div>
    <w:div w:id="1691836597">
      <w:bodyDiv w:val="1"/>
      <w:marLeft w:val="0"/>
      <w:marRight w:val="0"/>
      <w:marTop w:val="0"/>
      <w:marBottom w:val="0"/>
      <w:divBdr>
        <w:top w:val="none" w:sz="0" w:space="0" w:color="auto"/>
        <w:left w:val="none" w:sz="0" w:space="0" w:color="auto"/>
        <w:bottom w:val="none" w:sz="0" w:space="0" w:color="auto"/>
        <w:right w:val="none" w:sz="0" w:space="0" w:color="auto"/>
      </w:divBdr>
    </w:div>
    <w:div w:id="1729913247">
      <w:bodyDiv w:val="1"/>
      <w:marLeft w:val="0"/>
      <w:marRight w:val="0"/>
      <w:marTop w:val="0"/>
      <w:marBottom w:val="0"/>
      <w:divBdr>
        <w:top w:val="none" w:sz="0" w:space="0" w:color="auto"/>
        <w:left w:val="none" w:sz="0" w:space="0" w:color="auto"/>
        <w:bottom w:val="none" w:sz="0" w:space="0" w:color="auto"/>
        <w:right w:val="none" w:sz="0" w:space="0" w:color="auto"/>
      </w:divBdr>
    </w:div>
    <w:div w:id="2032800742">
      <w:bodyDiv w:val="1"/>
      <w:marLeft w:val="0"/>
      <w:marRight w:val="0"/>
      <w:marTop w:val="0"/>
      <w:marBottom w:val="0"/>
      <w:divBdr>
        <w:top w:val="none" w:sz="0" w:space="0" w:color="auto"/>
        <w:left w:val="none" w:sz="0" w:space="0" w:color="auto"/>
        <w:bottom w:val="none" w:sz="0" w:space="0" w:color="auto"/>
        <w:right w:val="none" w:sz="0" w:space="0" w:color="auto"/>
      </w:divBdr>
    </w:div>
    <w:div w:id="206629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edf.org/legal-advocacy/international-disability-rights/international-laws/philippines-magna-carta-for-disabled/"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unilabfoundation.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redf.org/legal-advocacy/international-disability-rights/international-laws/philippines-magna-carta-for-disabled/" TargetMode="External"/><Relationship Id="rId5" Type="http://schemas.openxmlformats.org/officeDocument/2006/relationships/styles" Target="styles.xml"/><Relationship Id="rId10" Type="http://schemas.openxmlformats.org/officeDocument/2006/relationships/hyperlink" Target="https://pophealthmetrics.biomedcentral.com/articles/10.1186/s12963-016-0096-y" TargetMode="External"/><Relationship Id="rId4" Type="http://schemas.openxmlformats.org/officeDocument/2006/relationships/numbering" Target="numbering.xml"/><Relationship Id="rId9" Type="http://schemas.openxmlformats.org/officeDocument/2006/relationships/hyperlink" Target="https://www.dinf.ne.jp/doc/english/asia/resource/z00ap/vol5no1/glimpse.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TotalTime>
  <Pages>5</Pages>
  <Words>1711</Words>
  <Characters>9758</Characters>
  <Application>Microsoft Office Word</Application>
  <DocSecurity>0</DocSecurity>
  <Lines>81</Lines>
  <Paragraphs>22</Paragraphs>
  <ScaleCrop>false</ScaleCrop>
  <Company/>
  <LinksUpToDate>false</LinksUpToDate>
  <CharactersWithSpaces>11447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2024-02-04T19:14:00Z</dcterms:created>
  <dcterms:modified xsi:type="dcterms:W3CDTF">2024-02-04T19:14:00Z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